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AADA8" w14:textId="2A7DB317" w:rsidR="00812A83" w:rsidRDefault="00FD7F5E">
      <w:r>
        <w:rPr>
          <w:rFonts w:ascii="Calibri" w:hAnsi="Calibri" w:cs="Calibri"/>
          <w:b/>
          <w:bCs/>
          <w:noProof/>
          <w:color w:val="000000"/>
          <w:sz w:val="24"/>
          <w:szCs w:val="24"/>
        </w:rPr>
        <w:drawing>
          <wp:anchor distT="0" distB="0" distL="114300" distR="114300" simplePos="0" relativeHeight="251658240" behindDoc="0" locked="0" layoutInCell="1" allowOverlap="1" wp14:anchorId="43FC5E31" wp14:editId="43B64954">
            <wp:simplePos x="0" y="0"/>
            <wp:positionH relativeFrom="column">
              <wp:posOffset>-190500</wp:posOffset>
            </wp:positionH>
            <wp:positionV relativeFrom="paragraph">
              <wp:posOffset>-304800</wp:posOffset>
            </wp:positionV>
            <wp:extent cx="1981200" cy="6884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C School of Medicine Logo - new.jpg"/>
                    <pic:cNvPicPr/>
                  </pic:nvPicPr>
                  <pic:blipFill>
                    <a:blip r:embed="rId6">
                      <a:extLst>
                        <a:ext uri="{28A0092B-C50C-407E-A947-70E740481C1C}">
                          <a14:useLocalDpi xmlns:a14="http://schemas.microsoft.com/office/drawing/2010/main" val="0"/>
                        </a:ext>
                      </a:extLst>
                    </a:blip>
                    <a:stretch>
                      <a:fillRect/>
                    </a:stretch>
                  </pic:blipFill>
                  <pic:spPr>
                    <a:xfrm>
                      <a:off x="0" y="0"/>
                      <a:ext cx="1981200" cy="688467"/>
                    </a:xfrm>
                    <a:prstGeom prst="rect">
                      <a:avLst/>
                    </a:prstGeom>
                  </pic:spPr>
                </pic:pic>
              </a:graphicData>
            </a:graphic>
          </wp:anchor>
        </w:drawing>
      </w:r>
      <w:r w:rsidR="007D3E9C">
        <w:object w:dxaOrig="15900" w:dyaOrig="11205" w14:anchorId="4327F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55.75pt;height:581.25pt" o:ole="">
            <v:imagedata r:id="rId7" o:title=""/>
          </v:shape>
          <o:OLEObject Type="Embed" ProgID="Visio.Drawing.11" ShapeID="_x0000_i1043" DrawAspect="Content" ObjectID="_1656322110" r:id="rId8"/>
        </w:object>
      </w:r>
      <w:r>
        <w:object w:dxaOrig="11604" w:dyaOrig="14490" w14:anchorId="6F866F85">
          <v:shape id="_x0000_i1026" type="#_x0000_t75" style="width:539.25pt;height:672.75pt" o:ole="">
            <v:imagedata r:id="rId9" o:title=""/>
          </v:shape>
          <o:OLEObject Type="Embed" ProgID="Visio.Drawing.11" ShapeID="_x0000_i1026" DrawAspect="Content" ObjectID="_1656322111" r:id="rId10"/>
        </w:object>
      </w:r>
    </w:p>
    <w:p w14:paraId="51D50E06" w14:textId="77777777" w:rsidR="00FD7F5E" w:rsidRDefault="00FD7F5E" w:rsidP="00812A83">
      <w:pPr>
        <w:autoSpaceDE w:val="0"/>
        <w:autoSpaceDN w:val="0"/>
        <w:adjustRightInd w:val="0"/>
        <w:spacing w:after="0" w:line="288" w:lineRule="auto"/>
        <w:rPr>
          <w:rFonts w:ascii="Calibri" w:hAnsi="Calibri" w:cs="Calibri"/>
          <w:b/>
          <w:bCs/>
          <w:color w:val="000000"/>
          <w:sz w:val="24"/>
          <w:szCs w:val="24"/>
        </w:rPr>
      </w:pPr>
    </w:p>
    <w:p w14:paraId="7587F017" w14:textId="77777777" w:rsidR="00FD7F5E" w:rsidRDefault="00FD7F5E" w:rsidP="00812A83">
      <w:pPr>
        <w:autoSpaceDE w:val="0"/>
        <w:autoSpaceDN w:val="0"/>
        <w:adjustRightInd w:val="0"/>
        <w:spacing w:after="0" w:line="288" w:lineRule="auto"/>
        <w:rPr>
          <w:rFonts w:ascii="Calibri" w:hAnsi="Calibri" w:cs="Calibri"/>
          <w:b/>
          <w:bCs/>
          <w:color w:val="000000"/>
          <w:sz w:val="24"/>
          <w:szCs w:val="24"/>
        </w:rPr>
      </w:pPr>
    </w:p>
    <w:p w14:paraId="7B12A27B" w14:textId="77777777" w:rsidR="00812A83" w:rsidRDefault="00812A83" w:rsidP="00812A83">
      <w:pPr>
        <w:autoSpaceDE w:val="0"/>
        <w:autoSpaceDN w:val="0"/>
        <w:adjustRightInd w:val="0"/>
        <w:spacing w:after="0" w:line="288" w:lineRule="auto"/>
        <w:rPr>
          <w:rFonts w:ascii="Calibri" w:hAnsi="Calibri" w:cs="Calibri"/>
          <w:b/>
          <w:bCs/>
          <w:color w:val="000000"/>
          <w:sz w:val="24"/>
          <w:szCs w:val="24"/>
        </w:rPr>
      </w:pPr>
      <w:r>
        <w:rPr>
          <w:rFonts w:ascii="Calibri" w:hAnsi="Calibri" w:cs="Calibri"/>
          <w:b/>
          <w:bCs/>
          <w:color w:val="000000"/>
          <w:sz w:val="24"/>
          <w:szCs w:val="24"/>
        </w:rPr>
        <w:t xml:space="preserve">References: </w:t>
      </w:r>
    </w:p>
    <w:p w14:paraId="14F039E7" w14:textId="77777777" w:rsidR="00812A83" w:rsidRDefault="00812A83" w:rsidP="00812A83">
      <w:pPr>
        <w:autoSpaceDE w:val="0"/>
        <w:autoSpaceDN w:val="0"/>
        <w:adjustRightInd w:val="0"/>
        <w:spacing w:after="0" w:line="288" w:lineRule="auto"/>
        <w:rPr>
          <w:rFonts w:ascii="Calibri" w:hAnsi="Calibri" w:cs="Calibri"/>
          <w:color w:val="000000"/>
        </w:rPr>
      </w:pPr>
      <w:r>
        <w:rPr>
          <w:rFonts w:ascii="Calibri" w:hAnsi="Calibri" w:cs="Calibri"/>
          <w:color w:val="000000"/>
        </w:rPr>
        <w:t xml:space="preserve">1) Thromboembolism in pregnancy. Practice Bulletin No. 123. American College of Obstetricians and Gynecologists. </w:t>
      </w:r>
      <w:proofErr w:type="spellStart"/>
      <w:r>
        <w:rPr>
          <w:rFonts w:ascii="Calibri" w:hAnsi="Calibri" w:cs="Calibri"/>
          <w:color w:val="000000"/>
        </w:rPr>
        <w:t>Obstet</w:t>
      </w:r>
      <w:proofErr w:type="spellEnd"/>
      <w:r>
        <w:rPr>
          <w:rFonts w:ascii="Calibri" w:hAnsi="Calibri" w:cs="Calibri"/>
          <w:color w:val="000000"/>
        </w:rPr>
        <w:t xml:space="preserve"> </w:t>
      </w:r>
      <w:proofErr w:type="spellStart"/>
      <w:r>
        <w:rPr>
          <w:rFonts w:ascii="Calibri" w:hAnsi="Calibri" w:cs="Calibri"/>
          <w:color w:val="000000"/>
        </w:rPr>
        <w:t>Gynecol</w:t>
      </w:r>
      <w:proofErr w:type="spellEnd"/>
      <w:r>
        <w:rPr>
          <w:rFonts w:ascii="Calibri" w:hAnsi="Calibri" w:cs="Calibri"/>
          <w:color w:val="000000"/>
        </w:rPr>
        <w:t xml:space="preserve"> 2011; 118:718-29.</w:t>
      </w:r>
    </w:p>
    <w:p w14:paraId="5EEA1813" w14:textId="77777777" w:rsidR="00812A83" w:rsidRDefault="00812A83" w:rsidP="00812A83">
      <w:pPr>
        <w:autoSpaceDE w:val="0"/>
        <w:autoSpaceDN w:val="0"/>
        <w:adjustRightInd w:val="0"/>
        <w:spacing w:after="0" w:line="288" w:lineRule="auto"/>
        <w:rPr>
          <w:rFonts w:ascii="Calibri" w:hAnsi="Calibri" w:cs="Calibri"/>
          <w:color w:val="000000"/>
        </w:rPr>
      </w:pPr>
    </w:p>
    <w:p w14:paraId="55AA83D7" w14:textId="77777777" w:rsidR="00812A83" w:rsidRDefault="00812A83" w:rsidP="00812A83">
      <w:pPr>
        <w:autoSpaceDE w:val="0"/>
        <w:autoSpaceDN w:val="0"/>
        <w:adjustRightInd w:val="0"/>
        <w:spacing w:after="0" w:line="288" w:lineRule="auto"/>
        <w:rPr>
          <w:rFonts w:ascii="Calibri" w:hAnsi="Calibri" w:cs="Calibri"/>
          <w:color w:val="000000"/>
        </w:rPr>
      </w:pPr>
      <w:r>
        <w:rPr>
          <w:rFonts w:ascii="Calibri" w:hAnsi="Calibri" w:cs="Calibri"/>
          <w:color w:val="000000"/>
        </w:rPr>
        <w:t xml:space="preserve">2) Bates SM, Greer IA, </w:t>
      </w:r>
      <w:proofErr w:type="spellStart"/>
      <w:r>
        <w:rPr>
          <w:rFonts w:ascii="Calibri" w:hAnsi="Calibri" w:cs="Calibri"/>
          <w:color w:val="000000"/>
        </w:rPr>
        <w:t>Middeldrop</w:t>
      </w:r>
      <w:proofErr w:type="spellEnd"/>
      <w:r>
        <w:rPr>
          <w:rFonts w:ascii="Calibri" w:hAnsi="Calibri" w:cs="Calibri"/>
          <w:color w:val="000000"/>
        </w:rPr>
        <w:t xml:space="preserve"> S, </w:t>
      </w:r>
      <w:proofErr w:type="spellStart"/>
      <w:r>
        <w:rPr>
          <w:rFonts w:ascii="Calibri" w:hAnsi="Calibri" w:cs="Calibri"/>
          <w:color w:val="000000"/>
        </w:rPr>
        <w:t>Veenstra</w:t>
      </w:r>
      <w:proofErr w:type="spellEnd"/>
      <w:r>
        <w:rPr>
          <w:rFonts w:ascii="Calibri" w:hAnsi="Calibri" w:cs="Calibri"/>
          <w:color w:val="000000"/>
        </w:rPr>
        <w:t xml:space="preserve"> </w:t>
      </w:r>
      <w:proofErr w:type="spellStart"/>
      <w:proofErr w:type="gramStart"/>
      <w:r>
        <w:rPr>
          <w:rFonts w:ascii="Calibri" w:hAnsi="Calibri" w:cs="Calibri"/>
          <w:color w:val="000000"/>
        </w:rPr>
        <w:t>DL,Prabulos</w:t>
      </w:r>
      <w:proofErr w:type="spellEnd"/>
      <w:proofErr w:type="gramEnd"/>
      <w:r>
        <w:rPr>
          <w:rFonts w:ascii="Calibri" w:hAnsi="Calibri" w:cs="Calibri"/>
          <w:color w:val="000000"/>
        </w:rPr>
        <w:t xml:space="preserve"> A, </w:t>
      </w:r>
      <w:proofErr w:type="spellStart"/>
      <w:r>
        <w:rPr>
          <w:rFonts w:ascii="Calibri" w:hAnsi="Calibri" w:cs="Calibri"/>
          <w:color w:val="000000"/>
        </w:rPr>
        <w:t>Vandvik</w:t>
      </w:r>
      <w:proofErr w:type="spellEnd"/>
      <w:r>
        <w:rPr>
          <w:rFonts w:ascii="Calibri" w:hAnsi="Calibri" w:cs="Calibri"/>
          <w:color w:val="000000"/>
        </w:rPr>
        <w:t xml:space="preserve"> PO. VTE, Thrombophilia, Antithrombotic Therapy, and Pregnancy. American College of Chest Physicians Evidence-Based Clinical Practice Guidelines (9thEd). CHEST 2012: 141(</w:t>
      </w:r>
      <w:proofErr w:type="gramStart"/>
      <w:r>
        <w:rPr>
          <w:rFonts w:ascii="Calibri" w:hAnsi="Calibri" w:cs="Calibri"/>
          <w:color w:val="000000"/>
        </w:rPr>
        <w:t>2)(</w:t>
      </w:r>
      <w:proofErr w:type="gramEnd"/>
      <w:r>
        <w:rPr>
          <w:rFonts w:ascii="Calibri" w:hAnsi="Calibri" w:cs="Calibri"/>
          <w:color w:val="000000"/>
        </w:rPr>
        <w:t>Suppl):e691S-e736S</w:t>
      </w:r>
    </w:p>
    <w:p w14:paraId="0990C160" w14:textId="77777777" w:rsidR="00812A83" w:rsidRDefault="00812A83" w:rsidP="00812A83">
      <w:pPr>
        <w:autoSpaceDE w:val="0"/>
        <w:autoSpaceDN w:val="0"/>
        <w:adjustRightInd w:val="0"/>
        <w:spacing w:after="0" w:line="288" w:lineRule="auto"/>
        <w:rPr>
          <w:rFonts w:ascii="Calibri" w:hAnsi="Calibri" w:cs="Calibri"/>
          <w:i/>
          <w:iCs/>
          <w:color w:val="000000"/>
        </w:rPr>
      </w:pPr>
      <w:r>
        <w:rPr>
          <w:rFonts w:ascii="Calibri" w:hAnsi="Calibri" w:cs="Calibri"/>
          <w:i/>
          <w:iCs/>
          <w:color w:val="000000"/>
        </w:rPr>
        <w:tab/>
        <w:t xml:space="preserve">“For pregnant patients, we suggest LMWH for the prevention and treatment of VTE, instead of </w:t>
      </w:r>
      <w:proofErr w:type="gramStart"/>
      <w:r>
        <w:rPr>
          <w:rFonts w:ascii="Calibri" w:hAnsi="Calibri" w:cs="Calibri"/>
          <w:i/>
          <w:iCs/>
          <w:color w:val="000000"/>
        </w:rPr>
        <w:t>UFH  (</w:t>
      </w:r>
      <w:proofErr w:type="gramEnd"/>
      <w:r>
        <w:rPr>
          <w:rFonts w:ascii="Calibri" w:hAnsi="Calibri" w:cs="Calibri"/>
          <w:i/>
          <w:iCs/>
          <w:color w:val="000000"/>
        </w:rPr>
        <w:t>Grade 1B).”</w:t>
      </w:r>
      <w:r w:rsidRPr="008E233F">
        <w:rPr>
          <w:noProof/>
        </w:rPr>
        <w:t xml:space="preserve"> </w:t>
      </w:r>
    </w:p>
    <w:p w14:paraId="1157336E" w14:textId="77777777" w:rsidR="00812A83" w:rsidRDefault="00812A83" w:rsidP="00812A83">
      <w:pPr>
        <w:autoSpaceDE w:val="0"/>
        <w:autoSpaceDN w:val="0"/>
        <w:adjustRightInd w:val="0"/>
        <w:spacing w:after="0" w:line="288" w:lineRule="auto"/>
        <w:rPr>
          <w:rFonts w:ascii="Calibri" w:hAnsi="Calibri" w:cs="Calibri"/>
          <w:color w:val="000000"/>
        </w:rPr>
      </w:pPr>
      <w:r>
        <w:rPr>
          <w:rFonts w:ascii="Calibri" w:hAnsi="Calibri" w:cs="Calibri"/>
          <w:i/>
          <w:iCs/>
          <w:color w:val="000000"/>
        </w:rPr>
        <w:tab/>
      </w:r>
    </w:p>
    <w:p w14:paraId="595CB53D" w14:textId="77777777" w:rsidR="00812A83" w:rsidRDefault="00812A83" w:rsidP="00812A83">
      <w:pPr>
        <w:autoSpaceDE w:val="0"/>
        <w:autoSpaceDN w:val="0"/>
        <w:adjustRightInd w:val="0"/>
        <w:spacing w:after="0" w:line="288" w:lineRule="auto"/>
        <w:rPr>
          <w:rFonts w:ascii="Calibri" w:hAnsi="Calibri" w:cs="Calibri"/>
          <w:color w:val="000000"/>
        </w:rPr>
      </w:pPr>
      <w:r>
        <w:rPr>
          <w:rFonts w:ascii="Calibri" w:hAnsi="Calibri" w:cs="Calibri"/>
          <w:color w:val="000000"/>
        </w:rPr>
        <w:t xml:space="preserve">3) Inherited </w:t>
      </w:r>
      <w:proofErr w:type="spellStart"/>
      <w:r>
        <w:rPr>
          <w:rFonts w:ascii="Calibri" w:hAnsi="Calibri" w:cs="Calibri"/>
          <w:color w:val="000000"/>
        </w:rPr>
        <w:t>thrombophilias</w:t>
      </w:r>
      <w:proofErr w:type="spellEnd"/>
      <w:r>
        <w:rPr>
          <w:rFonts w:ascii="Calibri" w:hAnsi="Calibri" w:cs="Calibri"/>
          <w:color w:val="000000"/>
        </w:rPr>
        <w:t xml:space="preserve"> in pregnancy. Practice Bulletin No. 138. American College of Obstetricians and Gynecologists. </w:t>
      </w:r>
      <w:proofErr w:type="spellStart"/>
      <w:r>
        <w:rPr>
          <w:rFonts w:ascii="Calibri" w:hAnsi="Calibri" w:cs="Calibri"/>
          <w:color w:val="000000"/>
        </w:rPr>
        <w:t>Obstet</w:t>
      </w:r>
      <w:proofErr w:type="spellEnd"/>
      <w:r>
        <w:rPr>
          <w:rFonts w:ascii="Calibri" w:hAnsi="Calibri" w:cs="Calibri"/>
          <w:color w:val="000000"/>
        </w:rPr>
        <w:t xml:space="preserve"> </w:t>
      </w:r>
      <w:proofErr w:type="spellStart"/>
      <w:r>
        <w:rPr>
          <w:rFonts w:ascii="Calibri" w:hAnsi="Calibri" w:cs="Calibri"/>
          <w:color w:val="000000"/>
        </w:rPr>
        <w:t>Gynecol</w:t>
      </w:r>
      <w:proofErr w:type="spellEnd"/>
      <w:r>
        <w:rPr>
          <w:rFonts w:ascii="Calibri" w:hAnsi="Calibri" w:cs="Calibri"/>
          <w:color w:val="000000"/>
        </w:rPr>
        <w:t xml:space="preserve"> 2013; 122:706-17. </w:t>
      </w:r>
    </w:p>
    <w:p w14:paraId="54A1BA6D" w14:textId="77777777" w:rsidR="00812A83" w:rsidRDefault="00812A83" w:rsidP="00812A83">
      <w:pPr>
        <w:autoSpaceDE w:val="0"/>
        <w:autoSpaceDN w:val="0"/>
        <w:adjustRightInd w:val="0"/>
        <w:spacing w:after="0" w:line="288" w:lineRule="auto"/>
        <w:rPr>
          <w:rFonts w:ascii="Calibri" w:hAnsi="Calibri" w:cs="Calibri"/>
          <w:color w:val="000000"/>
        </w:rPr>
      </w:pPr>
    </w:p>
    <w:p w14:paraId="5B79DC8F" w14:textId="77777777" w:rsidR="00812A83" w:rsidRDefault="00812A83" w:rsidP="00812A83">
      <w:pPr>
        <w:autoSpaceDE w:val="0"/>
        <w:autoSpaceDN w:val="0"/>
        <w:adjustRightInd w:val="0"/>
        <w:spacing w:after="0" w:line="288" w:lineRule="auto"/>
        <w:rPr>
          <w:rFonts w:ascii="Calibri" w:hAnsi="Calibri" w:cs="Calibri"/>
          <w:color w:val="000000"/>
          <w:sz w:val="16"/>
          <w:szCs w:val="16"/>
        </w:rPr>
      </w:pPr>
      <w:r>
        <w:rPr>
          <w:rFonts w:ascii="Arial" w:hAnsi="Arial" w:cs="Arial"/>
          <w:b/>
          <w:i/>
          <w:color w:val="000000"/>
          <w:sz w:val="16"/>
          <w:szCs w:val="16"/>
        </w:rPr>
        <w:t>Revised: 06/17/16</w:t>
      </w:r>
      <w:r>
        <w:rPr>
          <w:rFonts w:ascii="Calibri" w:hAnsi="Calibri" w:cs="Calibri"/>
          <w:color w:val="000000"/>
        </w:rPr>
        <w:tab/>
        <w:t xml:space="preserve"> </w:t>
      </w:r>
    </w:p>
    <w:p w14:paraId="6D0F488A" w14:textId="77777777" w:rsidR="00812A83" w:rsidRDefault="00812A83" w:rsidP="00812A83">
      <w:pPr>
        <w:autoSpaceDE w:val="0"/>
        <w:autoSpaceDN w:val="0"/>
        <w:adjustRightInd w:val="0"/>
        <w:spacing w:after="0" w:line="288" w:lineRule="auto"/>
        <w:jc w:val="both"/>
        <w:rPr>
          <w:rFonts w:ascii="Arial" w:hAnsi="Arial" w:cs="Arial"/>
          <w:b/>
          <w:bCs/>
          <w:i/>
          <w:iCs/>
          <w:color w:val="000000"/>
          <w:sz w:val="16"/>
          <w:szCs w:val="36"/>
        </w:rPr>
      </w:pPr>
      <w:r w:rsidRPr="0049028E">
        <w:rPr>
          <w:rFonts w:ascii="Arial" w:hAnsi="Arial" w:cs="Arial"/>
          <w:b/>
          <w:bCs/>
          <w:i/>
          <w:iCs/>
          <w:color w:val="000000"/>
          <w:sz w:val="16"/>
          <w:szCs w:val="36"/>
        </w:rPr>
        <w:t>These algorithms are designed to assist the primary care provider in the clinical management of a variety of problems that occur during pregnancy. They should not be interpreted as a standard of care, but instead represent guidelines for management.  Variation in practices should take into account such factors as characteristics of the individual patient, health resources, and regional experience with diagnostic and therapeutic modalities.</w:t>
      </w:r>
    </w:p>
    <w:p w14:paraId="7E5EDA3A" w14:textId="77777777" w:rsidR="00812A83" w:rsidRPr="0049028E" w:rsidRDefault="00812A83" w:rsidP="00812A83">
      <w:pPr>
        <w:autoSpaceDE w:val="0"/>
        <w:autoSpaceDN w:val="0"/>
        <w:adjustRightInd w:val="0"/>
        <w:spacing w:after="0" w:line="288" w:lineRule="auto"/>
        <w:jc w:val="both"/>
        <w:rPr>
          <w:rFonts w:ascii="Arial" w:hAnsi="Arial" w:cs="Arial"/>
          <w:b/>
          <w:bCs/>
          <w:i/>
          <w:iCs/>
          <w:color w:val="000000"/>
          <w:sz w:val="16"/>
          <w:szCs w:val="36"/>
        </w:rPr>
      </w:pPr>
    </w:p>
    <w:p w14:paraId="17E6EC44" w14:textId="77777777" w:rsidR="00812A83" w:rsidRPr="0049028E" w:rsidRDefault="00812A83" w:rsidP="00812A83">
      <w:pPr>
        <w:jc w:val="both"/>
        <w:rPr>
          <w:rFonts w:ascii="Arial" w:hAnsi="Arial" w:cs="Arial"/>
          <w:b/>
          <w:bCs/>
          <w:color w:val="000000"/>
          <w:sz w:val="16"/>
          <w:szCs w:val="36"/>
        </w:rPr>
      </w:pPr>
      <w:r w:rsidRPr="0049028E">
        <w:rPr>
          <w:rFonts w:ascii="Arial" w:hAnsi="Arial" w:cs="Arial"/>
          <w:b/>
          <w:bCs/>
          <w:i/>
          <w:iCs/>
          <w:color w:val="000000"/>
          <w:sz w:val="16"/>
          <w:szCs w:val="36"/>
        </w:rPr>
        <w:t>The algorithms remain the intellectual property of the University of North Carolina at Chapel Hill School of Medicine. They cannot be reproduced in whole or in part without the expressed written permission of the school.</w:t>
      </w:r>
    </w:p>
    <w:p w14:paraId="1102B6A9" w14:textId="77777777" w:rsidR="00812A83" w:rsidRDefault="00AE3C9B" w:rsidP="00812A83">
      <w:pPr>
        <w:jc w:val="both"/>
        <w:rPr>
          <w:rFonts w:ascii="Arial" w:hAnsi="Arial" w:cs="Arial"/>
          <w:sz w:val="16"/>
        </w:rPr>
      </w:pPr>
      <w:hyperlink r:id="rId11" w:history="1">
        <w:r w:rsidR="00812A83" w:rsidRPr="0049028E">
          <w:rPr>
            <w:rStyle w:val="Hyperlink"/>
            <w:rFonts w:ascii="Arial" w:hAnsi="Arial" w:cs="Arial"/>
            <w:sz w:val="16"/>
          </w:rPr>
          <w:t>www.mombaby.org</w:t>
        </w:r>
      </w:hyperlink>
    </w:p>
    <w:p w14:paraId="30262F96" w14:textId="77777777" w:rsidR="006A4DF2" w:rsidRPr="00812A83" w:rsidRDefault="006A4DF2" w:rsidP="00812A83">
      <w:pPr>
        <w:tabs>
          <w:tab w:val="left" w:pos="2040"/>
        </w:tabs>
      </w:pPr>
    </w:p>
    <w:sectPr w:rsidR="006A4DF2" w:rsidRPr="00812A83" w:rsidSect="001D416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B45C0" w14:textId="77777777" w:rsidR="00DF7E8C" w:rsidRDefault="00DF7E8C" w:rsidP="00812A83">
      <w:pPr>
        <w:spacing w:after="0" w:line="240" w:lineRule="auto"/>
      </w:pPr>
      <w:r>
        <w:separator/>
      </w:r>
    </w:p>
  </w:endnote>
  <w:endnote w:type="continuationSeparator" w:id="0">
    <w:p w14:paraId="0CA533DC" w14:textId="77777777" w:rsidR="00DF7E8C" w:rsidRDefault="00DF7E8C" w:rsidP="00812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3BF18" w14:textId="77777777" w:rsidR="00FD7F5E" w:rsidRDefault="00FD7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879441"/>
      <w:docPartObj>
        <w:docPartGallery w:val="Page Numbers (Bottom of Page)"/>
        <w:docPartUnique/>
      </w:docPartObj>
    </w:sdtPr>
    <w:sdtEndPr/>
    <w:sdtContent>
      <w:sdt>
        <w:sdtPr>
          <w:id w:val="-1769616900"/>
          <w:docPartObj>
            <w:docPartGallery w:val="Page Numbers (Top of Page)"/>
            <w:docPartUnique/>
          </w:docPartObj>
        </w:sdtPr>
        <w:sdtEndPr/>
        <w:sdtContent>
          <w:p w14:paraId="3F812EB4" w14:textId="77777777" w:rsidR="00812A83" w:rsidRDefault="00812A8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2587E">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2587E">
              <w:rPr>
                <w:b/>
                <w:bCs/>
                <w:noProof/>
              </w:rPr>
              <w:t>3</w:t>
            </w:r>
            <w:r>
              <w:rPr>
                <w:b/>
                <w:bCs/>
                <w:sz w:val="24"/>
                <w:szCs w:val="24"/>
              </w:rPr>
              <w:fldChar w:fldCharType="end"/>
            </w:r>
          </w:p>
        </w:sdtContent>
      </w:sdt>
    </w:sdtContent>
  </w:sdt>
  <w:p w14:paraId="59E976F3" w14:textId="77777777" w:rsidR="00812A83" w:rsidRDefault="00812A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AFD14" w14:textId="77777777" w:rsidR="00FD7F5E" w:rsidRDefault="00FD7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713B14" w14:textId="77777777" w:rsidR="00DF7E8C" w:rsidRDefault="00DF7E8C" w:rsidP="00812A83">
      <w:pPr>
        <w:spacing w:after="0" w:line="240" w:lineRule="auto"/>
      </w:pPr>
      <w:r>
        <w:separator/>
      </w:r>
    </w:p>
  </w:footnote>
  <w:footnote w:type="continuationSeparator" w:id="0">
    <w:p w14:paraId="26B67C93" w14:textId="77777777" w:rsidR="00DF7E8C" w:rsidRDefault="00DF7E8C" w:rsidP="00812A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4AB61" w14:textId="77777777" w:rsidR="00FD7F5E" w:rsidRDefault="00AE3C9B">
    <w:pPr>
      <w:pStyle w:val="Header"/>
    </w:pPr>
    <w:r>
      <w:rPr>
        <w:noProof/>
      </w:rPr>
      <w:pict w14:anchorId="6AE62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299513" o:spid="_x0000_s2050" type="#_x0000_t75" style="position:absolute;margin-left:0;margin-top:0;width:540pt;height:540pt;z-index:-251657216;mso-position-horizontal:center;mso-position-horizontal-relative:margin;mso-position-vertical:center;mso-position-vertical-relative:margin" o:allowincell="f">
          <v:imagedata r:id="rId1" o:title="Watermark Logo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C4F56" w14:textId="77777777" w:rsidR="00FD7F5E" w:rsidRDefault="00AE3C9B">
    <w:pPr>
      <w:pStyle w:val="Header"/>
    </w:pPr>
    <w:r>
      <w:rPr>
        <w:noProof/>
      </w:rPr>
      <w:pict w14:anchorId="19BE9D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299514" o:spid="_x0000_s2051" type="#_x0000_t75" style="position:absolute;margin-left:0;margin-top:0;width:540pt;height:540pt;z-index:-251656192;mso-position-horizontal:center;mso-position-horizontal-relative:margin;mso-position-vertical:center;mso-position-vertical-relative:margin" o:allowincell="f">
          <v:imagedata r:id="rId1" o:title="Watermark Logo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C662C" w14:textId="77777777" w:rsidR="00FD7F5E" w:rsidRDefault="00AE3C9B">
    <w:pPr>
      <w:pStyle w:val="Header"/>
    </w:pPr>
    <w:r>
      <w:rPr>
        <w:noProof/>
      </w:rPr>
      <w:pict w14:anchorId="409F5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299512" o:spid="_x0000_s2049" type="#_x0000_t75" style="position:absolute;margin-left:0;margin-top:0;width:540pt;height:540pt;z-index:-251658240;mso-position-horizontal:center;mso-position-horizontal-relative:margin;mso-position-vertical:center;mso-position-vertical-relative:margin" o:allowincell="f">
          <v:imagedata r:id="rId1" o:title="Watermark Logo (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A83"/>
    <w:rsid w:val="00020B8C"/>
    <w:rsid w:val="001D4163"/>
    <w:rsid w:val="002A40F6"/>
    <w:rsid w:val="0031795B"/>
    <w:rsid w:val="006A4DF2"/>
    <w:rsid w:val="007D3E9C"/>
    <w:rsid w:val="00812A83"/>
    <w:rsid w:val="00822F43"/>
    <w:rsid w:val="00D14144"/>
    <w:rsid w:val="00D2587E"/>
    <w:rsid w:val="00DF7E8C"/>
    <w:rsid w:val="00FD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EF4225"/>
  <w15:chartTrackingRefBased/>
  <w15:docId w15:val="{1CBA57B3-777B-425E-B30B-DA032F549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2A83"/>
    <w:rPr>
      <w:color w:val="0563C1" w:themeColor="hyperlink"/>
      <w:u w:val="single"/>
    </w:rPr>
  </w:style>
  <w:style w:type="paragraph" w:styleId="Header">
    <w:name w:val="header"/>
    <w:basedOn w:val="Normal"/>
    <w:link w:val="HeaderChar"/>
    <w:uiPriority w:val="99"/>
    <w:unhideWhenUsed/>
    <w:rsid w:val="00812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A83"/>
  </w:style>
  <w:style w:type="paragraph" w:styleId="Footer">
    <w:name w:val="footer"/>
    <w:basedOn w:val="Normal"/>
    <w:link w:val="FooterChar"/>
    <w:uiPriority w:val="99"/>
    <w:unhideWhenUsed/>
    <w:rsid w:val="00812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Visio_2003-2010_Drawing.vsd"/><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mombaby.org"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oleObject" Target="embeddings/Microsoft_Visio_2003-2010_Drawing1.vsd"/><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222</Words>
  <Characters>1271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Sheppard-Briggs, Lindsey</dc:creator>
  <cp:keywords/>
  <dc:description/>
  <cp:lastModifiedBy>Richbourg, Emily Louise</cp:lastModifiedBy>
  <cp:revision>4</cp:revision>
  <cp:lastPrinted>2016-06-17T17:06:00Z</cp:lastPrinted>
  <dcterms:created xsi:type="dcterms:W3CDTF">2020-07-15T14:04:00Z</dcterms:created>
  <dcterms:modified xsi:type="dcterms:W3CDTF">2020-07-15T16:42:00Z</dcterms:modified>
</cp:coreProperties>
</file>